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宜春市行政审批</w:t>
      </w:r>
      <w:r>
        <w:rPr>
          <w:rFonts w:hint="eastAsia" w:ascii="方正小标宋简体" w:hAnsi="方正小标宋简体" w:eastAsia="方正小标宋简体" w:cs="方正小标宋简体"/>
          <w:sz w:val="44"/>
          <w:szCs w:val="44"/>
          <w:lang w:val="en-US" w:eastAsia="zh-CN"/>
        </w:rPr>
        <w:t>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left"/>
        <w:rPr>
          <w:rFonts w:ascii="宋体" w:hAnsi="宋体" w:eastAsia="宋体" w:cs="宋体"/>
          <w:sz w:val="32"/>
          <w:szCs w:val="32"/>
          <w:highlight w:val="yellow"/>
        </w:rPr>
      </w:pP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我局网络信息科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宜春市行政审批局网站（政府信息公开平台）下载。如对本报告有任何疑问，请与我局网络信息科联系（地址：宜春市宜阳大厦中座三楼，电话：0795-3216710，邮编：336000）。</w:t>
      </w:r>
    </w:p>
    <w:p>
      <w:pPr>
        <w:numPr>
          <w:ilvl w:val="0"/>
          <w:numId w:val="1"/>
        </w:num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总体情况</w:t>
      </w:r>
    </w:p>
    <w:p>
      <w:pPr>
        <w:spacing w:line="560" w:lineRule="exact"/>
        <w:ind w:firstLine="640" w:firstLineChars="200"/>
        <w:jc w:val="left"/>
        <w:rPr>
          <w:rFonts w:ascii="黑体" w:hAnsi="黑体" w:eastAsia="黑体" w:cs="黑体"/>
          <w:color w:val="FF0000"/>
          <w:sz w:val="32"/>
          <w:szCs w:val="32"/>
        </w:rPr>
      </w:pPr>
      <w:r>
        <w:rPr>
          <w:rFonts w:hint="eastAsia" w:ascii="Times New Roman" w:hAnsi="Times New Roman" w:eastAsia="仿宋_GB2312"/>
          <w:sz w:val="32"/>
          <w:szCs w:val="32"/>
        </w:rPr>
        <w:t>2021年，市行政审批局以习近平新时代中国特色社会主义思想为指引，全面贯彻党的十九大和十九届二中、三中、四中、五中、六中全会精神，认真落实《中华人民共和国政府信息公开条例》和《宜春市2021年政务公开工作要点》精神，全面推进决策、执行、管理、服务、结果公开，不断加强政策解读，及时回应社会关切，以公开促落实、促规范、促服务，着力推进各项工作落地见效。</w:t>
      </w:r>
      <w:r>
        <w:rPr>
          <w:rFonts w:hint="eastAsia" w:ascii="Times New Roman" w:hAnsi="Times New Roman" w:eastAsia="仿宋_GB2312"/>
          <w:color w:val="auto"/>
          <w:sz w:val="32"/>
          <w:szCs w:val="32"/>
        </w:rPr>
        <w:t>2021年度，我局通过政府网站公开信息</w:t>
      </w:r>
      <w:r>
        <w:rPr>
          <w:rFonts w:hint="eastAsia" w:ascii="Times New Roman" w:hAnsi="Times New Roman" w:eastAsia="仿宋_GB2312"/>
          <w:color w:val="auto"/>
          <w:sz w:val="32"/>
          <w:szCs w:val="32"/>
          <w:lang w:val="en-US" w:eastAsia="zh-CN"/>
        </w:rPr>
        <w:t>294</w:t>
      </w:r>
      <w:r>
        <w:rPr>
          <w:rFonts w:hint="eastAsia" w:ascii="Times New Roman" w:hAnsi="Times New Roman" w:eastAsia="仿宋_GB2312"/>
          <w:color w:val="auto"/>
          <w:sz w:val="32"/>
          <w:szCs w:val="32"/>
        </w:rPr>
        <w:t>条，政府信息公开平台公开信息</w:t>
      </w:r>
      <w:r>
        <w:rPr>
          <w:rFonts w:hint="eastAsia" w:ascii="Times New Roman" w:hAnsi="Times New Roman" w:eastAsia="仿宋_GB2312"/>
          <w:color w:val="auto"/>
          <w:sz w:val="32"/>
          <w:szCs w:val="32"/>
          <w:lang w:val="en-US" w:eastAsia="zh-CN"/>
        </w:rPr>
        <w:t>198</w:t>
      </w:r>
      <w:r>
        <w:rPr>
          <w:rFonts w:hint="eastAsia" w:ascii="Times New Roman" w:hAnsi="Times New Roman" w:eastAsia="仿宋_GB2312"/>
          <w:color w:val="auto"/>
          <w:sz w:val="32"/>
          <w:szCs w:val="32"/>
        </w:rPr>
        <w:t>条，微信公众号公开信息746条；收到依申请公开件0件，全部做到</w:t>
      </w:r>
      <w:r>
        <w:rPr>
          <w:rFonts w:hint="eastAsia" w:ascii="仿宋" w:hAnsi="仿宋" w:eastAsia="仿宋" w:cs="仿宋"/>
          <w:color w:val="auto"/>
          <w:sz w:val="30"/>
          <w:szCs w:val="30"/>
        </w:rPr>
        <w:t>规范回复，未引起行政复议和诉讼等情况</w:t>
      </w:r>
      <w:r>
        <w:rPr>
          <w:rFonts w:hint="eastAsia" w:ascii="仿宋" w:hAnsi="仿宋" w:eastAsia="仿宋" w:cs="仿宋"/>
          <w:color w:val="auto"/>
          <w:sz w:val="32"/>
          <w:szCs w:val="32"/>
        </w:rPr>
        <w:t>。</w:t>
      </w:r>
    </w:p>
    <w:p>
      <w:pPr>
        <w:pStyle w:val="4"/>
        <w:widowControl/>
        <w:shd w:val="clear" w:color="auto" w:fill="FFFFFF"/>
        <w:spacing w:beforeAutospacing="0" w:afterAutospacing="0" w:line="56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（一）审批权力信息公开</w:t>
      </w:r>
    </w:p>
    <w:p>
      <w:pPr>
        <w:pStyle w:val="4"/>
        <w:widowControl/>
        <w:shd w:val="clear" w:color="auto" w:fill="FFFFFF"/>
        <w:spacing w:beforeAutospacing="0" w:after="75" w:afterAutospacing="0" w:line="58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rPr>
        <w:t>一是强化政务公开组织保障。</w:t>
      </w:r>
      <w:r>
        <w:rPr>
          <w:rFonts w:hint="eastAsia" w:ascii="Times New Roman" w:hAnsi="Times New Roman" w:eastAsia="仿宋_GB2312"/>
          <w:kern w:val="2"/>
          <w:sz w:val="32"/>
          <w:szCs w:val="32"/>
        </w:rPr>
        <w:t>多次在局相关会议上传达学习上级政策文件，谋深谋细谋实政务公开工作，主要领导听取工作情况汇报，研究全局政务公开工作2次。及时调整宜春市行政审批局政务公开工作领导小组成员，局政务公开工作领导小组办公室设在秘书科，负责日常具体工作，明确一名党组成员为政务公开工作分管领导，确定一名干部为工作联络员。对照省市政务公开办出台的文件精神，逐项研究细化，形成贯彻落实意见，制定了《宜春市行政审批局2021年政务公开工作要点》、《宜春市行政审批局政务公开工作考核办法》，通过细化任务问题，明确责任部门，形成了整改长效机制，确保整改落到实处。</w:t>
      </w:r>
    </w:p>
    <w:p>
      <w:pPr>
        <w:pStyle w:val="4"/>
        <w:widowControl/>
        <w:shd w:val="clear" w:color="auto" w:fill="FFFFFF"/>
        <w:spacing w:beforeAutospacing="0" w:after="75" w:afterAutospacing="0" w:line="58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rPr>
        <w:t>二是加强行政权力信息公开。</w:t>
      </w:r>
      <w:r>
        <w:rPr>
          <w:rFonts w:hint="eastAsia" w:ascii="Times New Roman" w:hAnsi="Times New Roman" w:eastAsia="仿宋_GB2312"/>
          <w:kern w:val="2"/>
          <w:sz w:val="32"/>
          <w:szCs w:val="32"/>
        </w:rPr>
        <w:t>认真对照法律法规规章，全面梳理市行政审批局依法行使的行政权力和依法承担的公共服务职责，依法及时公开局机关职能、机构设置、办公地址、办公时间、联系方式、负责人姓名等信息。</w:t>
      </w:r>
    </w:p>
    <w:p>
      <w:pPr>
        <w:pStyle w:val="4"/>
        <w:widowControl/>
        <w:shd w:val="clear" w:color="auto" w:fill="FFFFFF"/>
        <w:spacing w:beforeAutospacing="0" w:afterAutospacing="0" w:line="560" w:lineRule="exact"/>
        <w:ind w:firstLine="643" w:firstLineChars="200"/>
        <w:rPr>
          <w:rFonts w:hint="eastAsia" w:ascii="Times New Roman" w:hAnsi="Times New Roman" w:eastAsia="仿宋_GB2312"/>
          <w:kern w:val="2"/>
          <w:sz w:val="32"/>
          <w:szCs w:val="32"/>
        </w:rPr>
      </w:pPr>
      <w:r>
        <w:rPr>
          <w:rFonts w:hint="eastAsia" w:ascii="Times New Roman" w:hAnsi="Times New Roman" w:eastAsia="仿宋_GB2312"/>
          <w:b/>
          <w:kern w:val="2"/>
          <w:sz w:val="32"/>
          <w:szCs w:val="32"/>
        </w:rPr>
        <w:t>三是加强权力运行过程信息公开。</w:t>
      </w:r>
      <w:r>
        <w:rPr>
          <w:rFonts w:hint="eastAsia" w:ascii="Times New Roman" w:hAnsi="Times New Roman" w:eastAsia="仿宋_GB2312"/>
          <w:kern w:val="2"/>
          <w:sz w:val="32"/>
          <w:szCs w:val="32"/>
        </w:rPr>
        <w:t>完善重大行政决策预公开机制，对涉及人民群众切身利益、需要社会广泛知晓的公共政策措施，充分听取公众意见。2021年，主动通过网站向社会</w:t>
      </w:r>
      <w:r>
        <w:rPr>
          <w:rFonts w:hint="eastAsia" w:ascii="仿宋_GB2312" w:hAnsi="仿宋_GB2312" w:eastAsia="仿宋_GB2312" w:cs="仿宋_GB2312"/>
          <w:sz w:val="31"/>
          <w:szCs w:val="31"/>
        </w:rPr>
        <w:t>征求意见建议，</w:t>
      </w:r>
      <w:r>
        <w:rPr>
          <w:rFonts w:hint="eastAsia" w:ascii="Times New Roman" w:hAnsi="Times New Roman" w:eastAsia="仿宋_GB2312"/>
          <w:kern w:val="2"/>
          <w:sz w:val="32"/>
          <w:szCs w:val="32"/>
        </w:rPr>
        <w:t>主动征求利益相关方、群众代表、专家、媒体意见建议，建立健全企业家、商会、行业协会参与涉企政策制定制度。</w:t>
      </w:r>
    </w:p>
    <w:p>
      <w:pPr>
        <w:pStyle w:val="4"/>
        <w:widowControl/>
        <w:shd w:val="clear" w:color="auto" w:fill="FFFFFF"/>
        <w:spacing w:beforeAutospacing="0" w:after="75" w:afterAutospacing="0" w:line="58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rPr>
        <w:t>四是加强政务信息管理。</w:t>
      </w:r>
      <w:r>
        <w:rPr>
          <w:rFonts w:hint="eastAsia" w:ascii="Times New Roman" w:hAnsi="Times New Roman" w:eastAsia="仿宋_GB2312"/>
          <w:kern w:val="2"/>
          <w:sz w:val="32"/>
          <w:szCs w:val="32"/>
        </w:rPr>
        <w:t>按照“放管服”改革要求，依托“互联网+政务服务”平台，规范权力运行全过程信息。系统梳理制发的规范性文件，列明文号、成文日期、发布时间、有效性等信息，提供文本下载功能，提升规范性文件公开质量。</w:t>
      </w:r>
    </w:p>
    <w:p>
      <w:pPr>
        <w:pStyle w:val="4"/>
        <w:widowControl/>
        <w:shd w:val="clear" w:color="auto" w:fill="FFFFFF"/>
        <w:spacing w:beforeAutospacing="0" w:afterAutospacing="0" w:line="56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（二）重点领域信息公开</w:t>
      </w:r>
    </w:p>
    <w:p>
      <w:pPr>
        <w:pStyle w:val="4"/>
        <w:widowControl/>
        <w:shd w:val="clear" w:color="auto" w:fill="FFFFFF"/>
        <w:spacing w:beforeAutospacing="0" w:after="75" w:afterAutospacing="0" w:line="58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rPr>
        <w:t>一是加强行政执法信息公示。</w:t>
      </w:r>
      <w:r>
        <w:rPr>
          <w:rFonts w:hint="eastAsia" w:ascii="Times New Roman" w:hAnsi="Times New Roman" w:eastAsia="仿宋_GB2312"/>
          <w:kern w:val="2"/>
          <w:sz w:val="32"/>
          <w:szCs w:val="32"/>
        </w:rPr>
        <w:t>重点对行政执法的基本信息、职责权限、执法流程、裁量基准、执法结果、监督和救济途径等内容进行公开公示，保障社会公众就商贸领域行政执法信息知晓。</w:t>
      </w:r>
    </w:p>
    <w:p>
      <w:pPr>
        <w:pStyle w:val="4"/>
        <w:widowControl/>
        <w:shd w:val="clear" w:color="auto" w:fill="FFFFFF"/>
        <w:spacing w:beforeAutospacing="0" w:after="75" w:afterAutospacing="0" w:line="580" w:lineRule="exact"/>
        <w:ind w:firstLine="643" w:firstLineChars="200"/>
        <w:jc w:val="both"/>
        <w:rPr>
          <w:rFonts w:ascii="Times New Roman" w:hAnsi="Times New Roman" w:eastAsia="仿宋_GB2312"/>
          <w:kern w:val="2"/>
          <w:sz w:val="32"/>
          <w:szCs w:val="32"/>
        </w:rPr>
      </w:pPr>
      <w:r>
        <w:rPr>
          <w:rFonts w:hint="eastAsia" w:ascii="Times New Roman" w:hAnsi="Times New Roman" w:eastAsia="仿宋_GB2312"/>
          <w:b/>
          <w:kern w:val="2"/>
          <w:sz w:val="32"/>
          <w:szCs w:val="32"/>
        </w:rPr>
        <w:t>二是规范重点领域公开程序。</w:t>
      </w:r>
      <w:r>
        <w:rPr>
          <w:rFonts w:hint="eastAsia" w:ascii="Times New Roman" w:hAnsi="Times New Roman" w:eastAsia="仿宋_GB2312"/>
          <w:kern w:val="2"/>
          <w:sz w:val="32"/>
          <w:szCs w:val="32"/>
        </w:rPr>
        <w:t>对政务公开的一般信息需报分管领导审核后公布，重要信息和重点领域信息报单位主要领导审核后公布。同时，在信息公开工作中严格保密审查工作，凡是需要公开公示的信息需经分管领导审核以后再予以公开。</w:t>
      </w:r>
    </w:p>
    <w:p>
      <w:pPr>
        <w:numPr>
          <w:ilvl w:val="0"/>
          <w:numId w:val="1"/>
        </w:numPr>
        <w:spacing w:line="560" w:lineRule="exact"/>
        <w:ind w:left="0" w:leftChars="0" w:firstLine="640" w:firstLineChars="200"/>
        <w:jc w:val="left"/>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5"/>
        <w:tblW w:w="8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8"/>
        <w:gridCol w:w="1838"/>
        <w:gridCol w:w="2219"/>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580"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18"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83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2219"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2805"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718"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1838"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2219"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2805"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1838"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2219"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2805"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1838"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1</w:t>
            </w:r>
          </w:p>
        </w:tc>
        <w:tc>
          <w:tcPr>
            <w:tcW w:w="2219"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2805"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5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686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686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24326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5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686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6862"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6862"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85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18"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6862"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718"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6862" w:type="dxa"/>
            <w:gridSpan w:val="3"/>
            <w:tcBorders>
              <w:top w:val="nil"/>
              <w:left w:val="nil"/>
              <w:bottom w:val="single" w:color="000000" w:sz="8" w:space="0"/>
              <w:right w:val="single" w:color="000000" w:sz="8" w:space="0"/>
            </w:tcBorders>
            <w:shd w:val="clear" w:color="auto" w:fill="DAEEF3"/>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numPr>
          <w:ilvl w:val="0"/>
          <w:numId w:val="0"/>
        </w:numPr>
        <w:spacing w:line="560" w:lineRule="exact"/>
        <w:ind w:leftChars="200"/>
        <w:jc w:val="left"/>
        <w:rPr>
          <w:rFonts w:hint="eastAsia" w:ascii="黑体" w:hAnsi="黑体" w:eastAsia="黑体" w:cs="黑体"/>
          <w:sz w:val="32"/>
          <w:szCs w:val="32"/>
        </w:rPr>
      </w:pPr>
    </w:p>
    <w:p>
      <w:pPr>
        <w:numPr>
          <w:ilvl w:val="0"/>
          <w:numId w:val="1"/>
        </w:numPr>
        <w:spacing w:line="560" w:lineRule="exact"/>
        <w:ind w:left="0" w:leftChars="0" w:firstLine="640" w:firstLineChars="200"/>
        <w:jc w:val="left"/>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5"/>
        <w:tblW w:w="85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9"/>
        <w:gridCol w:w="1058"/>
        <w:gridCol w:w="1589"/>
        <w:gridCol w:w="698"/>
        <w:gridCol w:w="689"/>
        <w:gridCol w:w="718"/>
        <w:gridCol w:w="838"/>
        <w:gridCol w:w="849"/>
        <w:gridCol w:w="721"/>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3366"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5233" w:type="dxa"/>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366"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69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3815" w:type="dxa"/>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72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3366"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698"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72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366"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366"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9"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2647"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647"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58"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15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9"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2647"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3366"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69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68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38"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49"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1"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2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numPr>
          <w:ilvl w:val="0"/>
          <w:numId w:val="0"/>
        </w:numPr>
        <w:spacing w:line="560" w:lineRule="exact"/>
        <w:jc w:val="left"/>
        <w:rPr>
          <w:rFonts w:hint="eastAsia" w:ascii="黑体" w:hAnsi="黑体" w:eastAsia="黑体" w:cs="黑体"/>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44" w:lineRule="atLeast"/>
        <w:ind w:left="0" w:right="0" w:firstLine="516"/>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四、政府信息公开行政复议、行政诉讼情况</w:t>
      </w:r>
    </w:p>
    <w:tbl>
      <w:tblPr>
        <w:tblStyle w:val="5"/>
        <w:tblW w:w="8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76"/>
        <w:gridCol w:w="576"/>
        <w:gridCol w:w="576"/>
        <w:gridCol w:w="576"/>
        <w:gridCol w:w="650"/>
        <w:gridCol w:w="533"/>
        <w:gridCol w:w="576"/>
        <w:gridCol w:w="576"/>
        <w:gridCol w:w="576"/>
        <w:gridCol w:w="592"/>
        <w:gridCol w:w="576"/>
        <w:gridCol w:w="576"/>
        <w:gridCol w:w="576"/>
        <w:gridCol w:w="576"/>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54" w:hRule="atLeast"/>
        </w:trPr>
        <w:tc>
          <w:tcPr>
            <w:tcW w:w="2954" w:type="dxa"/>
            <w:gridSpan w:val="5"/>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​行政复议</w:t>
            </w:r>
          </w:p>
        </w:tc>
        <w:tc>
          <w:tcPr>
            <w:tcW w:w="5765" w:type="dxa"/>
            <w:gridSpan w:val="10"/>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4" w:hRule="atLeast"/>
        </w:trPr>
        <w:tc>
          <w:tcPr>
            <w:tcW w:w="576" w:type="dxa"/>
            <w:vMerge w:val="restart"/>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结果维持</w:t>
            </w:r>
          </w:p>
        </w:tc>
        <w:tc>
          <w:tcPr>
            <w:tcW w:w="57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结果纠正</w:t>
            </w:r>
          </w:p>
        </w:tc>
        <w:tc>
          <w:tcPr>
            <w:tcW w:w="576" w:type="dxa"/>
            <w:vMerge w:val="restart"/>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其他结果</w:t>
            </w:r>
          </w:p>
        </w:tc>
        <w:tc>
          <w:tcPr>
            <w:tcW w:w="576" w:type="dxa"/>
            <w:vMerge w:val="restart"/>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尚未审结</w:t>
            </w:r>
          </w:p>
        </w:tc>
        <w:tc>
          <w:tcPr>
            <w:tcW w:w="650" w:type="dxa"/>
            <w:vMerge w:val="restart"/>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总计</w:t>
            </w:r>
          </w:p>
        </w:tc>
        <w:tc>
          <w:tcPr>
            <w:tcW w:w="2853" w:type="dxa"/>
            <w:gridSpan w:val="5"/>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未经复议直接起诉</w:t>
            </w:r>
          </w:p>
        </w:tc>
        <w:tc>
          <w:tcPr>
            <w:tcW w:w="2912" w:type="dxa"/>
            <w:gridSpan w:val="5"/>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2" w:hRule="atLeast"/>
        </w:trPr>
        <w:tc>
          <w:tcPr>
            <w:tcW w:w="576"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微软雅黑" w:hAnsi="微软雅黑" w:eastAsia="微软雅黑" w:cs="微软雅黑"/>
                <w:i w:val="0"/>
                <w:iCs w:val="0"/>
                <w:caps w:val="0"/>
                <w:color w:val="000000"/>
                <w:spacing w:val="0"/>
                <w:sz w:val="21"/>
                <w:szCs w:val="21"/>
              </w:rPr>
            </w:pPr>
          </w:p>
        </w:tc>
        <w:tc>
          <w:tcPr>
            <w:tcW w:w="57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微软雅黑" w:hAnsi="微软雅黑" w:eastAsia="微软雅黑" w:cs="微软雅黑"/>
                <w:i w:val="0"/>
                <w:iCs w:val="0"/>
                <w:caps w:val="0"/>
                <w:color w:val="000000"/>
                <w:spacing w:val="0"/>
                <w:sz w:val="21"/>
                <w:szCs w:val="21"/>
              </w:rPr>
            </w:pPr>
          </w:p>
        </w:tc>
        <w:tc>
          <w:tcPr>
            <w:tcW w:w="576" w:type="dxa"/>
            <w:vMerge w:val="continue"/>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微软雅黑" w:hAnsi="微软雅黑" w:eastAsia="微软雅黑" w:cs="微软雅黑"/>
                <w:i w:val="0"/>
                <w:iCs w:val="0"/>
                <w:caps w:val="0"/>
                <w:color w:val="000000"/>
                <w:spacing w:val="0"/>
                <w:sz w:val="21"/>
                <w:szCs w:val="21"/>
              </w:rPr>
            </w:pPr>
          </w:p>
        </w:tc>
        <w:tc>
          <w:tcPr>
            <w:tcW w:w="576" w:type="dxa"/>
            <w:vMerge w:val="continue"/>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微软雅黑" w:hAnsi="微软雅黑" w:eastAsia="微软雅黑" w:cs="微软雅黑"/>
                <w:i w:val="0"/>
                <w:iCs w:val="0"/>
                <w:caps w:val="0"/>
                <w:color w:val="000000"/>
                <w:spacing w:val="0"/>
                <w:sz w:val="21"/>
                <w:szCs w:val="21"/>
              </w:rPr>
            </w:pPr>
          </w:p>
        </w:tc>
        <w:tc>
          <w:tcPr>
            <w:tcW w:w="650" w:type="dxa"/>
            <w:vMerge w:val="continue"/>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微软雅黑" w:hAnsi="微软雅黑" w:eastAsia="微软雅黑" w:cs="微软雅黑"/>
                <w:i w:val="0"/>
                <w:iCs w:val="0"/>
                <w:caps w:val="0"/>
                <w:color w:val="000000"/>
                <w:spacing w:val="0"/>
                <w:sz w:val="21"/>
                <w:szCs w:val="21"/>
              </w:rPr>
            </w:pPr>
          </w:p>
        </w:tc>
        <w:tc>
          <w:tcPr>
            <w:tcW w:w="533"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结果维持</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结果纠正</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其他结果</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尚未审结</w:t>
            </w:r>
          </w:p>
        </w:tc>
        <w:tc>
          <w:tcPr>
            <w:tcW w:w="59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总计</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结果维持</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结果纠正</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其他结果</w:t>
            </w:r>
          </w:p>
        </w:tc>
        <w:tc>
          <w:tcPr>
            <w:tcW w:w="576"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尚未审结</w:t>
            </w:r>
          </w:p>
        </w:tc>
        <w:tc>
          <w:tcPr>
            <w:tcW w:w="608"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 w:hRule="atLeast"/>
        </w:trPr>
        <w:tc>
          <w:tcPr>
            <w:tcW w:w="57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650"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33"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9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57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5"/>
                <w:szCs w:val="15"/>
              </w:rPr>
              <w:t>0</w:t>
            </w:r>
          </w:p>
        </w:tc>
        <w:tc>
          <w:tcPr>
            <w:tcW w:w="6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4" w:lineRule="atLeast"/>
              <w:ind w:left="0" w:right="0"/>
              <w:jc w:val="left"/>
            </w:pPr>
            <w:r>
              <w:rPr>
                <w:rFonts w:hint="eastAsia" w:ascii="宋体" w:hAnsi="宋体" w:eastAsia="宋体" w:cs="宋体"/>
                <w:i w:val="0"/>
                <w:iCs w:val="0"/>
                <w:caps w:val="0"/>
                <w:color w:val="000000"/>
                <w:spacing w:val="0"/>
                <w:sz w:val="19"/>
                <w:szCs w:val="19"/>
              </w:rPr>
              <w:t>0</w:t>
            </w:r>
          </w:p>
        </w:tc>
      </w:tr>
    </w:tbl>
    <w:p>
      <w:pPr>
        <w:spacing w:line="560" w:lineRule="exact"/>
        <w:ind w:firstLine="640" w:firstLineChars="200"/>
        <w:jc w:val="left"/>
        <w:rPr>
          <w:rFonts w:hint="eastAsia"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政府信息公开工作存在的主要问题及改进情况</w:t>
      </w:r>
    </w:p>
    <w:p>
      <w:pPr>
        <w:pStyle w:val="4"/>
        <w:widowControl/>
        <w:shd w:val="clear" w:color="auto" w:fill="FFFFFF"/>
        <w:spacing w:beforeAutospacing="0" w:afterAutospacing="0" w:line="560"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虽然2021年市我局政务公开工作取得了一定的成绩，但对照政务公开工作建设的要求，还存在着一定的问题和不足，需进一步改进和加强。主要表现在虽然全局对信息公开的重要性已经有了较高认识，但还需进一步提高；信息公开的及时性、全面性有待提高。</w:t>
      </w:r>
    </w:p>
    <w:p>
      <w:pPr>
        <w:pStyle w:val="4"/>
        <w:widowControl/>
        <w:shd w:val="clear" w:color="auto" w:fill="FFFFFF"/>
        <w:spacing w:beforeAutospacing="0" w:afterAutospacing="0" w:line="560" w:lineRule="exact"/>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针对信息公开工作存在的问题，下一步我们将坚持问题导向，加强组织领导，健全体制，明确责任，积极寻找突破口；进一步加强政府信息公开平台和政务新媒体的运营管理，确保政府信息公开及时、高效、全面。</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、其他需要报告的事项</w:t>
      </w:r>
    </w:p>
    <w:p>
      <w:pPr>
        <w:spacing w:line="560" w:lineRule="exact"/>
        <w:ind w:firstLine="640" w:firstLineChars="200"/>
        <w:jc w:val="left"/>
        <w:rPr>
          <w:rFonts w:ascii="Times New Roman" w:hAnsi="Times New Roman" w:eastAsia="仿宋_GB2312" w:cs="Times New Roman"/>
          <w:sz w:val="32"/>
          <w:szCs w:val="32"/>
        </w:rPr>
      </w:pPr>
      <w:r>
        <w:rPr>
          <w:rFonts w:hint="eastAsia" w:ascii="仿宋" w:hAnsi="仿宋" w:eastAsia="仿宋" w:cs="仿宋"/>
          <w:sz w:val="32"/>
          <w:szCs w:val="32"/>
        </w:rPr>
        <w:t>宜春市行政审批局网站网址为：</w:t>
      </w:r>
      <w:r>
        <w:rPr>
          <w:rStyle w:val="7"/>
          <w:rFonts w:hint="eastAsia"/>
          <w:sz w:val="32"/>
          <w:szCs w:val="32"/>
        </w:rPr>
        <w:t>http://xzspj.yichun.gov.cn/</w:t>
      </w:r>
      <w:r>
        <w:rPr>
          <w:rFonts w:hint="eastAsia" w:ascii="Times New Roman" w:hAnsi="Times New Roman" w:eastAsia="仿宋_GB2312" w:cs="Times New Roman"/>
          <w:sz w:val="32"/>
          <w:szCs w:val="32"/>
        </w:rPr>
        <w:t>，如需了解更多我局政务信息，请进入访问。</w:t>
      </w:r>
      <w:r>
        <w:rPr>
          <w:rFonts w:hint="eastAsia" w:ascii="Times New Roman" w:hAnsi="Times New Roman" w:eastAsia="仿宋_GB2312" w:cs="Times New Roman"/>
          <w:sz w:val="32"/>
          <w:szCs w:val="32"/>
          <w:lang w:val="en-US" w:eastAsia="zh-CN"/>
        </w:rPr>
        <w:t>2021</w:t>
      </w:r>
      <w:bookmarkStart w:id="0" w:name="_GoBack"/>
      <w:bookmarkEnd w:id="0"/>
      <w:r>
        <w:rPr>
          <w:rFonts w:hint="eastAsia" w:ascii="Times New Roman" w:hAnsi="Times New Roman" w:eastAsia="仿宋_GB2312" w:cs="Times New Roman"/>
          <w:sz w:val="32"/>
          <w:szCs w:val="32"/>
        </w:rPr>
        <w:t>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E08BE"/>
    <w:multiLevelType w:val="singleLevel"/>
    <w:tmpl w:val="6B6E08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YmQ4YWVmYTRiNjU1NWI4MTI0MGNlYjAxY2QxZTIifQ=="/>
  </w:docVars>
  <w:rsids>
    <w:rsidRoot w:val="005A421E"/>
    <w:rsid w:val="000C462A"/>
    <w:rsid w:val="002D31D4"/>
    <w:rsid w:val="002D70E1"/>
    <w:rsid w:val="003E5F6D"/>
    <w:rsid w:val="005A421E"/>
    <w:rsid w:val="00851773"/>
    <w:rsid w:val="009D3B22"/>
    <w:rsid w:val="00B27A67"/>
    <w:rsid w:val="00E414BA"/>
    <w:rsid w:val="00F02997"/>
    <w:rsid w:val="01EE3DE8"/>
    <w:rsid w:val="03504A11"/>
    <w:rsid w:val="03F34B0B"/>
    <w:rsid w:val="041407B2"/>
    <w:rsid w:val="0461651F"/>
    <w:rsid w:val="04B8487E"/>
    <w:rsid w:val="0661772B"/>
    <w:rsid w:val="07700A02"/>
    <w:rsid w:val="0964608B"/>
    <w:rsid w:val="0EF42EF7"/>
    <w:rsid w:val="0F4741CF"/>
    <w:rsid w:val="0F955566"/>
    <w:rsid w:val="0FA137F8"/>
    <w:rsid w:val="0FF632AC"/>
    <w:rsid w:val="10B801D5"/>
    <w:rsid w:val="1207699C"/>
    <w:rsid w:val="131032D3"/>
    <w:rsid w:val="13D47BC0"/>
    <w:rsid w:val="15D50002"/>
    <w:rsid w:val="16E44886"/>
    <w:rsid w:val="17291001"/>
    <w:rsid w:val="17A74A5C"/>
    <w:rsid w:val="199652F9"/>
    <w:rsid w:val="1A106A52"/>
    <w:rsid w:val="1B24682E"/>
    <w:rsid w:val="1C2D2604"/>
    <w:rsid w:val="1C3939A2"/>
    <w:rsid w:val="1F1B739F"/>
    <w:rsid w:val="20F126F3"/>
    <w:rsid w:val="22850322"/>
    <w:rsid w:val="249679B2"/>
    <w:rsid w:val="256208D0"/>
    <w:rsid w:val="26610904"/>
    <w:rsid w:val="28EA69EF"/>
    <w:rsid w:val="2C7257FF"/>
    <w:rsid w:val="2F963C7A"/>
    <w:rsid w:val="30582760"/>
    <w:rsid w:val="31005252"/>
    <w:rsid w:val="311158D0"/>
    <w:rsid w:val="33CD5E69"/>
    <w:rsid w:val="365C43F4"/>
    <w:rsid w:val="36B016FA"/>
    <w:rsid w:val="38236942"/>
    <w:rsid w:val="38A4268F"/>
    <w:rsid w:val="38B0604C"/>
    <w:rsid w:val="3A4B07B1"/>
    <w:rsid w:val="3A7A245E"/>
    <w:rsid w:val="3D424349"/>
    <w:rsid w:val="3DA129C3"/>
    <w:rsid w:val="3DA71EF1"/>
    <w:rsid w:val="3F6C3638"/>
    <w:rsid w:val="45F74BB0"/>
    <w:rsid w:val="46605FE7"/>
    <w:rsid w:val="499113C0"/>
    <w:rsid w:val="4A5A0C13"/>
    <w:rsid w:val="4BDA5D5B"/>
    <w:rsid w:val="4BDB3076"/>
    <w:rsid w:val="4BFA4104"/>
    <w:rsid w:val="4C90122E"/>
    <w:rsid w:val="4CDE6484"/>
    <w:rsid w:val="4D2A58DB"/>
    <w:rsid w:val="4D800112"/>
    <w:rsid w:val="4EBD11C8"/>
    <w:rsid w:val="4F7756AB"/>
    <w:rsid w:val="4FC91558"/>
    <w:rsid w:val="508717F5"/>
    <w:rsid w:val="50B23D0D"/>
    <w:rsid w:val="51F27A50"/>
    <w:rsid w:val="52F96D95"/>
    <w:rsid w:val="53903938"/>
    <w:rsid w:val="548E513B"/>
    <w:rsid w:val="54960A7A"/>
    <w:rsid w:val="55DC55F5"/>
    <w:rsid w:val="571224AE"/>
    <w:rsid w:val="57AD5E90"/>
    <w:rsid w:val="5861715A"/>
    <w:rsid w:val="58B568AD"/>
    <w:rsid w:val="5906008F"/>
    <w:rsid w:val="59CC759B"/>
    <w:rsid w:val="5A5441F1"/>
    <w:rsid w:val="5D5077DB"/>
    <w:rsid w:val="5F3A11FE"/>
    <w:rsid w:val="61721217"/>
    <w:rsid w:val="62373D85"/>
    <w:rsid w:val="62500083"/>
    <w:rsid w:val="653006B3"/>
    <w:rsid w:val="6751786F"/>
    <w:rsid w:val="67B62A88"/>
    <w:rsid w:val="67C002BB"/>
    <w:rsid w:val="6B9620A5"/>
    <w:rsid w:val="6D127CC1"/>
    <w:rsid w:val="6D4B024A"/>
    <w:rsid w:val="6DB84894"/>
    <w:rsid w:val="713907FD"/>
    <w:rsid w:val="76C203A4"/>
    <w:rsid w:val="7B215008"/>
    <w:rsid w:val="7BB203F9"/>
    <w:rsid w:val="7E9E6F46"/>
    <w:rsid w:val="7F20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2574</Words>
  <Characters>2679</Characters>
  <Lines>20</Lines>
  <Paragraphs>5</Paragraphs>
  <TotalTime>224</TotalTime>
  <ScaleCrop>false</ScaleCrop>
  <LinksUpToDate>false</LinksUpToDate>
  <CharactersWithSpaces>2679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2020-11-19T07:36:00Z</dcterms:created>
  <dc:creator>Administrator</dc:creator>
  <cp:lastModifiedBy>thy</cp:lastModifiedBy>
  <cp:lastPrinted>2022-01-24T07:19:00Z</cp:lastPrinted>
  <dcterms:modified xsi:type="dcterms:W3CDTF">2023-01-16T02:40:39Z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40BE53443BA64F238682E43FE482C647</vt:lpwstr>
  </property>
</Properties>
</file>